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DF" w:rsidRDefault="008972DF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604385"/>
                <wp:effectExtent l="0" t="0" r="0" b="571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60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54DF" w:rsidRPr="008972DF" w:rsidRDefault="00170F24" w:rsidP="00170F24">
                            <w:pPr>
                              <w:pStyle w:val="BrochureSubtitle2"/>
                              <w:jc w:val="center"/>
                              <w:rPr>
                                <w:b/>
                                <w:i w:val="0"/>
                                <w:color w:val="auto"/>
                                <w:sz w:val="48"/>
                              </w:rPr>
                            </w:pPr>
                            <w:r w:rsidRPr="008972DF">
                              <w:rPr>
                                <w:b/>
                                <w:i w:val="0"/>
                                <w:color w:val="auto"/>
                                <w:sz w:val="48"/>
                              </w:rPr>
                              <w:t>What Options Are Available to Me?</w:t>
                            </w: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0.4pt;margin-top:0;width:201.6pt;height:362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" fillcolor="#d8d8d8 [2732]" stroked="f">
                <v:textbox inset=",252pt">
                  <w:txbxContent>
                    <w:p w:rsidR="00CB54DF" w:rsidRPr="008972DF" w:rsidRDefault="00170F24" w:rsidP="00170F24">
                      <w:pPr>
                        <w:pStyle w:val="BrochureSubtitle2"/>
                        <w:jc w:val="center"/>
                        <w:rPr>
                          <w:b/>
                          <w:i w:val="0"/>
                          <w:color w:val="auto"/>
                          <w:sz w:val="48"/>
                        </w:rPr>
                      </w:pPr>
                      <w:r w:rsidRPr="008972DF">
                        <w:rPr>
                          <w:b/>
                          <w:i w:val="0"/>
                          <w:color w:val="auto"/>
                          <w:sz w:val="48"/>
                        </w:rPr>
                        <w:t>What Options Are Available to Me?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6579235</wp:posOffset>
                </wp:positionH>
                <wp:positionV relativeFrom="margin">
                  <wp:posOffset>25400</wp:posOffset>
                </wp:positionV>
                <wp:extent cx="2560320" cy="223202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3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4FEB" w:rsidRDefault="00884FEB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</w:rPr>
                              <w:drawing>
                                <wp:inline distT="0" distB="0" distL="0" distR="0">
                                  <wp:extent cx="2390401" cy="1054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oo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211" cy="109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FEB" w:rsidRPr="00BF36E9" w:rsidRDefault="00884FEB" w:rsidP="00884F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50"/>
                              </w:rPr>
                            </w:pPr>
                            <w:r w:rsidRPr="00BF36E9">
                              <w:rPr>
                                <w:rFonts w:ascii="Calibri" w:hAnsi="Calibri"/>
                                <w:b/>
                                <w:sz w:val="48"/>
                                <w:szCs w:val="50"/>
                              </w:rPr>
                              <w:t>Happ Movers, Inc.</w:t>
                            </w:r>
                          </w:p>
                          <w:p w:rsidR="00884FEB" w:rsidRPr="008972DF" w:rsidRDefault="00884FEB" w:rsidP="00884FE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</w:rPr>
                            </w:pPr>
                            <w:r w:rsidRPr="00BF36E9">
                              <w:rPr>
                                <w:rFonts w:ascii="Calibri" w:hAnsi="Calibri"/>
                                <w:b/>
                                <w:sz w:val="48"/>
                                <w:szCs w:val="50"/>
                              </w:rPr>
                              <w:t>Liability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18.05pt;margin-top:2pt;width:201.6pt;height:1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" fillcolor="white [3212]" stroked="f">
                <v:textbox>
                  <w:txbxContent>
                    <w:p w:rsidR="00884FEB" w:rsidRDefault="00884FEB">
                      <w:pPr>
                        <w:rPr>
                          <w:sz w:val="48"/>
                        </w:rPr>
                      </w:pPr>
                      <w:r>
                        <w:rPr>
                          <w:noProof/>
                          <w:sz w:val="48"/>
                        </w:rPr>
                        <w:drawing>
                          <wp:inline distT="0" distB="0" distL="0" distR="0">
                            <wp:extent cx="2390401" cy="1054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ood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211" cy="1092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FEB" w:rsidRPr="00BF36E9" w:rsidRDefault="00884FEB" w:rsidP="00884FEB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50"/>
                        </w:rPr>
                      </w:pPr>
                      <w:r w:rsidRPr="00BF36E9">
                        <w:rPr>
                          <w:rFonts w:ascii="Calibri" w:hAnsi="Calibri"/>
                          <w:b/>
                          <w:sz w:val="48"/>
                          <w:szCs w:val="50"/>
                        </w:rPr>
                        <w:t>Happ Movers, Inc.</w:t>
                      </w:r>
                    </w:p>
                    <w:p w:rsidR="00884FEB" w:rsidRPr="008972DF" w:rsidRDefault="00884FEB" w:rsidP="00884FEB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</w:rPr>
                      </w:pPr>
                      <w:r w:rsidRPr="00BF36E9">
                        <w:rPr>
                          <w:rFonts w:ascii="Calibri" w:hAnsi="Calibri"/>
                          <w:b/>
                          <w:sz w:val="48"/>
                          <w:szCs w:val="50"/>
                        </w:rPr>
                        <w:t>Liability Options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6579235</wp:posOffset>
                </wp:positionH>
                <wp:positionV relativeFrom="page">
                  <wp:posOffset>2736215</wp:posOffset>
                </wp:positionV>
                <wp:extent cx="2560320" cy="4508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54DF" w:rsidRDefault="00CB54DF">
                            <w:pPr>
                              <w:pStyle w:val="Brochure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518.05pt;margin-top:215.45pt;width:201.6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" fillcolor="#d8d8d8 [2732]" stroked="f">
                <v:textbox>
                  <w:txbxContent>
                    <w:p w:rsidR="00CB54DF" w:rsidRDefault="00CB54DF">
                      <w:pPr>
                        <w:pStyle w:val="BrochureTitle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6619240</wp:posOffset>
                </wp:positionH>
                <wp:positionV relativeFrom="paragraph">
                  <wp:posOffset>4289425</wp:posOffset>
                </wp:positionV>
                <wp:extent cx="2560320" cy="300990"/>
                <wp:effectExtent l="0" t="3175" r="254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Default="00CB54DF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21.2pt;margin-top:337.75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Nhug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" filled="f" stroked="f">
                <v:textbox>
                  <w:txbxContent>
                    <w:p w:rsidR="00CB54DF" w:rsidRDefault="00CB54DF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1455420"/>
                <wp:effectExtent l="0" t="190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55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</w:rPr>
                              <w:alias w:val="Company"/>
                              <w:id w:val="-483089777"/>
                              <w:placeholder>
                                <w:docPart w:val="904D355882DB497E92E76D8DE8855E41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B54DF" w:rsidRDefault="00884FEB" w:rsidP="00884FEB">
                                <w:pPr>
                                  <w:pStyle w:val="ContactInformationHeading"/>
                                  <w:jc w:val="center"/>
                                </w:pPr>
                                <w:r w:rsidRPr="005A6981">
                                  <w:rPr>
                                    <w:sz w:val="28"/>
                                  </w:rPr>
                                  <w:t>Happ Movers, Inc.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dress"/>
                              <w:id w:val="-1410998388"/>
                              <w:placeholder>
                                <w:docPart w:val="3C9673CB0C544D049806AED64F0D89D1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B54DF" w:rsidRDefault="00884FEB" w:rsidP="00884FEB">
                                <w:pPr>
                                  <w:pStyle w:val="ContactInformation"/>
                                  <w:jc w:val="center"/>
                                </w:pPr>
                                <w:r>
                                  <w:t>2942 Glenview Road</w:t>
                                </w:r>
                              </w:p>
                            </w:sdtContent>
                          </w:sdt>
                          <w:p w:rsidR="00CB54DF" w:rsidRDefault="00884FEB" w:rsidP="00884FEB">
                            <w:pPr>
                              <w:pStyle w:val="ContactInformation"/>
                              <w:jc w:val="center"/>
                            </w:pPr>
                            <w:r>
                              <w:t>Glenview, IL  60025</w:t>
                            </w:r>
                          </w:p>
                          <w:p w:rsidR="00CB54DF" w:rsidRDefault="00884FEB" w:rsidP="00884FEB">
                            <w:pPr>
                              <w:pStyle w:val="ContactInformation"/>
                              <w:jc w:val="center"/>
                            </w:pPr>
                            <w:r>
                              <w:t>847-724-3353</w:t>
                            </w:r>
                          </w:p>
                          <w:p w:rsidR="00CB54DF" w:rsidRPr="005A6981" w:rsidRDefault="005A6981" w:rsidP="00884FEB">
                            <w:pPr>
                              <w:pStyle w:val="WebSiteAddress"/>
                              <w:jc w:val="center"/>
                            </w:pPr>
                            <w:hyperlink r:id="rId9" w:history="1">
                              <w:r w:rsidRPr="005A6981">
                                <w:rPr>
                                  <w:rStyle w:val="Hyperlink"/>
                                  <w:color w:val="4F81BD" w:themeColor="accent1"/>
                                  <w:u w:val="none"/>
                                </w:rPr>
                                <w:t>www.happmovers.com</w:t>
                              </w:r>
                            </w:hyperlink>
                          </w:p>
                          <w:p w:rsidR="005A6981" w:rsidRDefault="005A6981" w:rsidP="00884FEB">
                            <w:pPr>
                              <w:pStyle w:val="WebSiteAddress"/>
                              <w:jc w:val="center"/>
                            </w:pPr>
                            <w:r>
                              <w:t>ILCC 14432 MC-CR</w:t>
                            </w: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0;width:147pt;height:114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style="mso-fit-shape-to-text:t" inset=",7.2pt,,7.2pt">
                  <w:txbxContent>
                    <w:sdt>
                      <w:sdtPr>
                        <w:rPr>
                          <w:sz w:val="28"/>
                        </w:rPr>
                        <w:alias w:val="Company"/>
                        <w:id w:val="-483089777"/>
                        <w:placeholder>
                          <w:docPart w:val="904D355882DB497E92E76D8DE8855E41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B54DF" w:rsidRDefault="00884FEB" w:rsidP="00884FEB">
                          <w:pPr>
                            <w:pStyle w:val="ContactInformationHeading"/>
                            <w:jc w:val="center"/>
                          </w:pPr>
                          <w:r w:rsidRPr="005A6981">
                            <w:rPr>
                              <w:sz w:val="28"/>
                            </w:rPr>
                            <w:t>Happ Movers, Inc.</w:t>
                          </w:r>
                        </w:p>
                      </w:sdtContent>
                    </w:sdt>
                    <w:sdt>
                      <w:sdtPr>
                        <w:alias w:val="Address"/>
                        <w:id w:val="-1410998388"/>
                        <w:placeholder>
                          <w:docPart w:val="3C9673CB0C544D049806AED64F0D89D1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B54DF" w:rsidRDefault="00884FEB" w:rsidP="00884FEB">
                          <w:pPr>
                            <w:pStyle w:val="ContactInformation"/>
                            <w:jc w:val="center"/>
                          </w:pPr>
                          <w:r>
                            <w:t>2942 Glenview Road</w:t>
                          </w:r>
                        </w:p>
                      </w:sdtContent>
                    </w:sdt>
                    <w:p w:rsidR="00CB54DF" w:rsidRDefault="00884FEB" w:rsidP="00884FEB">
                      <w:pPr>
                        <w:pStyle w:val="ContactInformation"/>
                        <w:jc w:val="center"/>
                      </w:pPr>
                      <w:r>
                        <w:t>Glenview, IL  60025</w:t>
                      </w:r>
                    </w:p>
                    <w:p w:rsidR="00CB54DF" w:rsidRDefault="00884FEB" w:rsidP="00884FEB">
                      <w:pPr>
                        <w:pStyle w:val="ContactInformation"/>
                        <w:jc w:val="center"/>
                      </w:pPr>
                      <w:r>
                        <w:t>847-724-3353</w:t>
                      </w:r>
                    </w:p>
                    <w:p w:rsidR="00CB54DF" w:rsidRPr="005A6981" w:rsidRDefault="005A6981" w:rsidP="00884FEB">
                      <w:pPr>
                        <w:pStyle w:val="WebSiteAddress"/>
                        <w:jc w:val="center"/>
                      </w:pPr>
                      <w:hyperlink r:id="rId10" w:history="1">
                        <w:r w:rsidRPr="005A6981">
                          <w:rPr>
                            <w:rStyle w:val="Hyperlink"/>
                            <w:color w:val="4F81BD" w:themeColor="accent1"/>
                            <w:u w:val="none"/>
                          </w:rPr>
                          <w:t>www.happmovers.com</w:t>
                        </w:r>
                      </w:hyperlink>
                    </w:p>
                    <w:p w:rsidR="005A6981" w:rsidRDefault="005A6981" w:rsidP="00884FEB">
                      <w:pPr>
                        <w:pStyle w:val="WebSiteAddress"/>
                        <w:jc w:val="center"/>
                      </w:pPr>
                      <w:r>
                        <w:t>ILCC 14432 MC-CR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54DF" w:rsidRDefault="00CB54DF">
                            <w:pPr>
                              <w:pStyle w:val="BrochureCopy"/>
                            </w:pPr>
                          </w:p>
                          <w:p w:rsidR="008972DF" w:rsidRDefault="008972DF">
                            <w:pPr>
                              <w:pStyle w:val="BrochureCopy"/>
                            </w:pPr>
                          </w:p>
                          <w:p w:rsidR="00B518A9" w:rsidRPr="00B518A9" w:rsidRDefault="00B518A9">
                            <w:pPr>
                              <w:pStyle w:val="BrochureCopy"/>
                              <w:rPr>
                                <w:sz w:val="22"/>
                              </w:rPr>
                            </w:pPr>
                            <w:r w:rsidRPr="00B518A9">
                              <w:rPr>
                                <w:sz w:val="22"/>
                              </w:rPr>
                              <w:t>Regardless of which liability option you choose for your move, if you wish to make a claim for damage, the first step is to call our office at 847-724-3353 to request a claim form to fill out and send back.</w:t>
                            </w:r>
                          </w:p>
                          <w:p w:rsidR="00B518A9" w:rsidRDefault="00B518A9">
                            <w:pPr>
                              <w:pStyle w:val="BrochureCopy"/>
                              <w:rPr>
                                <w:sz w:val="22"/>
                              </w:rPr>
                            </w:pPr>
                          </w:p>
                          <w:p w:rsidR="00B518A9" w:rsidRPr="00B518A9" w:rsidRDefault="00B518A9">
                            <w:pPr>
                              <w:pStyle w:val="BrochureCopy"/>
                              <w:rPr>
                                <w:sz w:val="22"/>
                              </w:rPr>
                            </w:pPr>
                          </w:p>
                          <w:p w:rsidR="008972DF" w:rsidRPr="00B518A9" w:rsidRDefault="00B518A9">
                            <w:pPr>
                              <w:pStyle w:val="BrochureCopy"/>
                              <w:rPr>
                                <w:sz w:val="22"/>
                              </w:rPr>
                            </w:pPr>
                            <w:r w:rsidRPr="00B518A9">
                              <w:rPr>
                                <w:sz w:val="22"/>
                              </w:rPr>
                              <w:t>For more information about Illinois Commerce Commission regulations that govern mover liability, visit Illinois Movers’ and Warehousemen’s Association website (</w:t>
                            </w:r>
                            <w:hyperlink r:id="rId11" w:history="1">
                              <w:r w:rsidRPr="00B518A9">
                                <w:rPr>
                                  <w:rStyle w:val="Hyperlink"/>
                                  <w:sz w:val="22"/>
                                </w:rPr>
                                <w:t>www.imawa.com</w:t>
                              </w:r>
                            </w:hyperlink>
                            <w:r w:rsidRPr="00B518A9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B518A9" w:rsidRDefault="00B518A9">
                            <w:pPr>
                              <w:pStyle w:val="BrochureCopy"/>
                              <w:rPr>
                                <w:sz w:val="22"/>
                              </w:rPr>
                            </w:pPr>
                          </w:p>
                          <w:p w:rsidR="00B518A9" w:rsidRPr="00B518A9" w:rsidRDefault="00B518A9">
                            <w:pPr>
                              <w:pStyle w:val="BrochureCopy"/>
                              <w:rPr>
                                <w:sz w:val="22"/>
                              </w:rPr>
                            </w:pPr>
                          </w:p>
                          <w:p w:rsidR="00B518A9" w:rsidRPr="00B518A9" w:rsidRDefault="00B518A9">
                            <w:pPr>
                              <w:pStyle w:val="BrochureCopy"/>
                              <w:rPr>
                                <w:sz w:val="22"/>
                              </w:rPr>
                            </w:pPr>
                            <w:r w:rsidRPr="00B518A9">
                              <w:rPr>
                                <w:sz w:val="22"/>
                              </w:rPr>
                              <w:t xml:space="preserve">A link to this information can be found at </w:t>
                            </w:r>
                            <w:hyperlink r:id="rId12" w:history="1">
                              <w:r w:rsidRPr="00B518A9">
                                <w:rPr>
                                  <w:rStyle w:val="Hyperlink"/>
                                  <w:sz w:val="22"/>
                                </w:rPr>
                                <w:t>www.happmovers.com</w:t>
                              </w:r>
                            </w:hyperlink>
                            <w:r w:rsidRPr="00B518A9">
                              <w:rPr>
                                <w:sz w:val="22"/>
                              </w:rPr>
                              <w:t xml:space="preserve"> as well as</w:t>
                            </w:r>
                            <w:r w:rsidR="0082086D">
                              <w:rPr>
                                <w:sz w:val="22"/>
                              </w:rPr>
                              <w:t xml:space="preserve"> on</w:t>
                            </w:r>
                            <w:r w:rsidRPr="00B518A9">
                              <w:rPr>
                                <w:sz w:val="22"/>
                              </w:rPr>
                              <w:t xml:space="preserve"> the “Illinois Intrastate Household Goods Bill of Lading and Freight Bill” which serves as your moving contract and has </w:t>
                            </w:r>
                            <w:r>
                              <w:rPr>
                                <w:sz w:val="22"/>
                              </w:rPr>
                              <w:t>the specific language found in the Illinois Commerce Commission regulations</w:t>
                            </w:r>
                            <w:r w:rsidRPr="00B518A9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" fillcolor="#d8d8d8 [2732]" stroked="f">
                <v:textbox>
                  <w:txbxContent>
                    <w:p w:rsidR="00CB54DF" w:rsidRDefault="00CB54DF">
                      <w:pPr>
                        <w:pStyle w:val="BrochureCopy"/>
                      </w:pPr>
                    </w:p>
                    <w:p w:rsidR="008972DF" w:rsidRDefault="008972DF">
                      <w:pPr>
                        <w:pStyle w:val="BrochureCopy"/>
                      </w:pPr>
                    </w:p>
                    <w:p w:rsidR="00B518A9" w:rsidRPr="00B518A9" w:rsidRDefault="00B518A9">
                      <w:pPr>
                        <w:pStyle w:val="BrochureCopy"/>
                        <w:rPr>
                          <w:sz w:val="22"/>
                        </w:rPr>
                      </w:pPr>
                      <w:r w:rsidRPr="00B518A9">
                        <w:rPr>
                          <w:sz w:val="22"/>
                        </w:rPr>
                        <w:t>Regardless of which liability option you choose for your move, if you wish to make a claim for damage, the first step is to call our office at 847-724-3353 to request a claim form to fill out and send back.</w:t>
                      </w:r>
                    </w:p>
                    <w:p w:rsidR="00B518A9" w:rsidRDefault="00B518A9">
                      <w:pPr>
                        <w:pStyle w:val="BrochureCopy"/>
                        <w:rPr>
                          <w:sz w:val="22"/>
                        </w:rPr>
                      </w:pPr>
                    </w:p>
                    <w:p w:rsidR="00B518A9" w:rsidRPr="00B518A9" w:rsidRDefault="00B518A9">
                      <w:pPr>
                        <w:pStyle w:val="BrochureCopy"/>
                        <w:rPr>
                          <w:sz w:val="22"/>
                        </w:rPr>
                      </w:pPr>
                    </w:p>
                    <w:p w:rsidR="008972DF" w:rsidRPr="00B518A9" w:rsidRDefault="00B518A9">
                      <w:pPr>
                        <w:pStyle w:val="BrochureCopy"/>
                        <w:rPr>
                          <w:sz w:val="22"/>
                        </w:rPr>
                      </w:pPr>
                      <w:r w:rsidRPr="00B518A9">
                        <w:rPr>
                          <w:sz w:val="22"/>
                        </w:rPr>
                        <w:t>For more information about Illinois Commerce Commission regulations that govern mover liability, visit Illinois Movers’ and Warehousemen’s Association website (</w:t>
                      </w:r>
                      <w:hyperlink r:id="rId13" w:history="1">
                        <w:r w:rsidRPr="00B518A9">
                          <w:rPr>
                            <w:rStyle w:val="Hyperlink"/>
                            <w:sz w:val="22"/>
                          </w:rPr>
                          <w:t>www.imawa.com</w:t>
                        </w:r>
                      </w:hyperlink>
                      <w:r w:rsidRPr="00B518A9">
                        <w:rPr>
                          <w:sz w:val="22"/>
                        </w:rPr>
                        <w:t>)</w:t>
                      </w:r>
                    </w:p>
                    <w:p w:rsidR="00B518A9" w:rsidRDefault="00B518A9">
                      <w:pPr>
                        <w:pStyle w:val="BrochureCopy"/>
                        <w:rPr>
                          <w:sz w:val="22"/>
                        </w:rPr>
                      </w:pPr>
                    </w:p>
                    <w:p w:rsidR="00B518A9" w:rsidRPr="00B518A9" w:rsidRDefault="00B518A9">
                      <w:pPr>
                        <w:pStyle w:val="BrochureCopy"/>
                        <w:rPr>
                          <w:sz w:val="22"/>
                        </w:rPr>
                      </w:pPr>
                    </w:p>
                    <w:p w:rsidR="00B518A9" w:rsidRPr="00B518A9" w:rsidRDefault="00B518A9">
                      <w:pPr>
                        <w:pStyle w:val="BrochureCopy"/>
                        <w:rPr>
                          <w:sz w:val="22"/>
                        </w:rPr>
                      </w:pPr>
                      <w:r w:rsidRPr="00B518A9">
                        <w:rPr>
                          <w:sz w:val="22"/>
                        </w:rPr>
                        <w:t xml:space="preserve">A link to this information can be found at </w:t>
                      </w:r>
                      <w:hyperlink r:id="rId14" w:history="1">
                        <w:r w:rsidRPr="00B518A9">
                          <w:rPr>
                            <w:rStyle w:val="Hyperlink"/>
                            <w:sz w:val="22"/>
                          </w:rPr>
                          <w:t>www.happmovers.com</w:t>
                        </w:r>
                      </w:hyperlink>
                      <w:r w:rsidRPr="00B518A9">
                        <w:rPr>
                          <w:sz w:val="22"/>
                        </w:rPr>
                        <w:t xml:space="preserve"> as well as</w:t>
                      </w:r>
                      <w:r w:rsidR="0082086D">
                        <w:rPr>
                          <w:sz w:val="22"/>
                        </w:rPr>
                        <w:t xml:space="preserve"> on</w:t>
                      </w:r>
                      <w:r w:rsidRPr="00B518A9">
                        <w:rPr>
                          <w:sz w:val="22"/>
                        </w:rPr>
                        <w:t xml:space="preserve"> the “Illinois Intrastate Household Goods Bill of Lading and Freight Bill” which serves as your moving contract and has </w:t>
                      </w:r>
                      <w:r>
                        <w:rPr>
                          <w:sz w:val="22"/>
                        </w:rPr>
                        <w:t>the specific language found in the Illinois Commerce Commission regulations</w:t>
                      </w:r>
                      <w:r w:rsidRPr="00B518A9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73C1" w:rsidRPr="00BF36E9" w:rsidRDefault="00841632" w:rsidP="0082086D">
      <w:pPr>
        <w:jc w:val="center"/>
        <w:rPr>
          <w:color w:val="5F497A" w:themeColor="accent4" w:themeShade="BF"/>
          <w:sz w:val="28"/>
          <w:szCs w:val="24"/>
        </w:rPr>
      </w:pPr>
      <w:r w:rsidRPr="00BF36E9">
        <w:rPr>
          <w:color w:val="5F497A" w:themeColor="accent4" w:themeShade="BF"/>
          <w:sz w:val="28"/>
          <w:szCs w:val="24"/>
        </w:rPr>
        <w:lastRenderedPageBreak/>
        <w:t xml:space="preserve">Option 1: </w:t>
      </w:r>
      <w:r w:rsidR="006A73C1" w:rsidRPr="00BF36E9">
        <w:rPr>
          <w:b/>
          <w:color w:val="5F497A" w:themeColor="accent4" w:themeShade="BF"/>
          <w:sz w:val="28"/>
          <w:szCs w:val="24"/>
        </w:rPr>
        <w:t>Minimum Carrier Liability</w:t>
      </w:r>
    </w:p>
    <w:p w:rsidR="006A73C1" w:rsidRPr="006A73C1" w:rsidRDefault="006A73C1" w:rsidP="00841632">
      <w:pPr>
        <w:jc w:val="both"/>
        <w:rPr>
          <w:color w:val="5F497A" w:themeColor="accent4" w:themeShade="BF"/>
          <w:sz w:val="24"/>
          <w:szCs w:val="24"/>
        </w:rPr>
      </w:pPr>
      <w:r w:rsidRPr="006A73C1">
        <w:rPr>
          <w:color w:val="5F497A" w:themeColor="accent4" w:themeShade="BF"/>
          <w:sz w:val="24"/>
          <w:szCs w:val="24"/>
        </w:rPr>
        <w:t>This option comes at no charge.  Choosing this option means that you are sharing liability for any damage with the mover, so there is no additional fee.</w:t>
      </w:r>
    </w:p>
    <w:p w:rsidR="006A73C1" w:rsidRPr="006A73C1" w:rsidRDefault="006A73C1" w:rsidP="00841632">
      <w:pPr>
        <w:jc w:val="both"/>
        <w:rPr>
          <w:color w:val="5F497A" w:themeColor="accent4" w:themeShade="BF"/>
          <w:sz w:val="24"/>
          <w:szCs w:val="24"/>
        </w:rPr>
      </w:pPr>
      <w:r w:rsidRPr="006A73C1">
        <w:rPr>
          <w:color w:val="5F497A" w:themeColor="accent4" w:themeShade="BF"/>
          <w:sz w:val="24"/>
          <w:szCs w:val="24"/>
        </w:rPr>
        <w:t xml:space="preserve">In the event of any damage, your items will be valued at 30 cents per pound, per article.  </w:t>
      </w:r>
      <w:r w:rsidR="00BF36E9">
        <w:rPr>
          <w:color w:val="5F497A" w:themeColor="accent4" w:themeShade="BF"/>
          <w:sz w:val="24"/>
          <w:szCs w:val="24"/>
        </w:rPr>
        <w:t>If you file a claim for</w:t>
      </w:r>
      <w:r w:rsidRPr="006A73C1">
        <w:rPr>
          <w:color w:val="5F497A" w:themeColor="accent4" w:themeShade="BF"/>
          <w:sz w:val="24"/>
          <w:szCs w:val="24"/>
        </w:rPr>
        <w:t xml:space="preserve"> damage, Happ Movers will make a reasonable attempt to repair or replace any damaged item </w:t>
      </w:r>
      <w:r w:rsidRPr="00BF36E9">
        <w:rPr>
          <w:b/>
          <w:color w:val="5F497A" w:themeColor="accent4" w:themeShade="BF"/>
          <w:sz w:val="24"/>
          <w:szCs w:val="24"/>
        </w:rPr>
        <w:t xml:space="preserve">at a cost up to </w:t>
      </w:r>
      <w:r w:rsidR="00F00D7D">
        <w:rPr>
          <w:b/>
          <w:color w:val="5F497A" w:themeColor="accent4" w:themeShade="BF"/>
          <w:sz w:val="24"/>
          <w:szCs w:val="24"/>
        </w:rPr>
        <w:t>30¢ per pound the article weighs</w:t>
      </w:r>
      <w:r w:rsidRPr="00BF36E9">
        <w:rPr>
          <w:b/>
          <w:color w:val="5F497A" w:themeColor="accent4" w:themeShade="BF"/>
          <w:sz w:val="24"/>
          <w:szCs w:val="24"/>
        </w:rPr>
        <w:t>.</w:t>
      </w:r>
    </w:p>
    <w:p w:rsidR="006A73C1" w:rsidRPr="006A73C1" w:rsidRDefault="006A73C1" w:rsidP="00841632">
      <w:pPr>
        <w:jc w:val="both"/>
        <w:rPr>
          <w:color w:val="5F497A" w:themeColor="accent4" w:themeShade="BF"/>
          <w:sz w:val="24"/>
          <w:szCs w:val="24"/>
        </w:rPr>
      </w:pPr>
      <w:r w:rsidRPr="006A73C1">
        <w:rPr>
          <w:color w:val="5F497A" w:themeColor="accent4" w:themeShade="BF"/>
          <w:sz w:val="24"/>
          <w:szCs w:val="24"/>
        </w:rPr>
        <w:t>You will receive the same careful service you have come to expect from Happ Movers, but you will</w:t>
      </w:r>
      <w:r w:rsidR="00F00D7D">
        <w:rPr>
          <w:color w:val="5F497A" w:themeColor="accent4" w:themeShade="BF"/>
          <w:sz w:val="24"/>
          <w:szCs w:val="24"/>
        </w:rPr>
        <w:t xml:space="preserve"> potentially</w:t>
      </w:r>
      <w:r w:rsidRPr="006A73C1">
        <w:rPr>
          <w:color w:val="5F497A" w:themeColor="accent4" w:themeShade="BF"/>
          <w:sz w:val="24"/>
          <w:szCs w:val="24"/>
        </w:rPr>
        <w:t xml:space="preserve"> have less protection in the case of </w:t>
      </w:r>
      <w:r w:rsidR="00841632">
        <w:rPr>
          <w:color w:val="5F497A" w:themeColor="accent4" w:themeShade="BF"/>
          <w:sz w:val="24"/>
          <w:szCs w:val="24"/>
        </w:rPr>
        <w:t>an</w:t>
      </w:r>
      <w:r w:rsidRPr="006A73C1">
        <w:rPr>
          <w:color w:val="5F497A" w:themeColor="accent4" w:themeShade="BF"/>
          <w:sz w:val="24"/>
          <w:szCs w:val="24"/>
        </w:rPr>
        <w:t xml:space="preserve"> accident during the move</w:t>
      </w:r>
      <w:r w:rsidR="00F00D7D">
        <w:rPr>
          <w:color w:val="5F497A" w:themeColor="accent4" w:themeShade="BF"/>
          <w:sz w:val="24"/>
          <w:szCs w:val="24"/>
        </w:rPr>
        <w:t xml:space="preserve"> than you would with Option 2.</w:t>
      </w:r>
    </w:p>
    <w:p w:rsidR="006A73C1" w:rsidRPr="00841632" w:rsidRDefault="006A73C1" w:rsidP="00841632">
      <w:pPr>
        <w:jc w:val="both"/>
        <w:rPr>
          <w:b/>
          <w:color w:val="5F497A" w:themeColor="accent4" w:themeShade="BF"/>
          <w:sz w:val="28"/>
          <w:szCs w:val="28"/>
        </w:rPr>
      </w:pPr>
      <w:r w:rsidRPr="00841632">
        <w:rPr>
          <w:b/>
          <w:color w:val="5F497A" w:themeColor="accent4" w:themeShade="BF"/>
          <w:sz w:val="28"/>
          <w:szCs w:val="28"/>
        </w:rPr>
        <w:t>If you choose this option, write on the bill of lading “30 cents per pound per article” and sign it.</w:t>
      </w:r>
    </w:p>
    <w:p w:rsidR="006A73C1" w:rsidRDefault="006A73C1" w:rsidP="006A73C1">
      <w:pPr>
        <w:pStyle w:val="Website"/>
        <w:rPr>
          <w:color w:val="4F6228" w:themeColor="accent3" w:themeShade="80"/>
          <w:sz w:val="22"/>
          <w:szCs w:val="22"/>
        </w:rPr>
      </w:pPr>
    </w:p>
    <w:p w:rsidR="006A73C1" w:rsidRDefault="006A73C1" w:rsidP="006A73C1">
      <w:pPr>
        <w:pStyle w:val="Website"/>
        <w:rPr>
          <w:color w:val="4F6228" w:themeColor="accent3" w:themeShade="80"/>
          <w:sz w:val="22"/>
          <w:szCs w:val="22"/>
        </w:rPr>
      </w:pPr>
    </w:p>
    <w:p w:rsidR="006A73C1" w:rsidRDefault="006A73C1" w:rsidP="006A73C1">
      <w:pPr>
        <w:pStyle w:val="Website"/>
        <w:rPr>
          <w:color w:val="4F6228" w:themeColor="accent3" w:themeShade="80"/>
          <w:sz w:val="22"/>
          <w:szCs w:val="22"/>
        </w:rPr>
      </w:pPr>
    </w:p>
    <w:p w:rsidR="006A73C1" w:rsidRDefault="006A73C1" w:rsidP="006A73C1">
      <w:pPr>
        <w:pStyle w:val="Website"/>
        <w:rPr>
          <w:color w:val="4F6228" w:themeColor="accent3" w:themeShade="80"/>
          <w:sz w:val="22"/>
          <w:szCs w:val="22"/>
        </w:rPr>
      </w:pPr>
    </w:p>
    <w:p w:rsidR="00841632" w:rsidRDefault="00841632" w:rsidP="006A73C1">
      <w:pPr>
        <w:pStyle w:val="Website"/>
        <w:rPr>
          <w:color w:val="4F6228" w:themeColor="accent3" w:themeShade="80"/>
          <w:sz w:val="24"/>
          <w:szCs w:val="24"/>
        </w:rPr>
      </w:pPr>
    </w:p>
    <w:p w:rsidR="00F00D7D" w:rsidRDefault="00F00D7D" w:rsidP="00841632">
      <w:pPr>
        <w:pStyle w:val="Website"/>
        <w:rPr>
          <w:color w:val="984806" w:themeColor="accent6" w:themeShade="80"/>
          <w:sz w:val="28"/>
          <w:szCs w:val="24"/>
        </w:rPr>
      </w:pPr>
    </w:p>
    <w:p w:rsidR="006A73C1" w:rsidRPr="00BF36E9" w:rsidRDefault="006A73C1" w:rsidP="0082086D">
      <w:pPr>
        <w:pStyle w:val="Website"/>
        <w:jc w:val="center"/>
        <w:rPr>
          <w:color w:val="984806" w:themeColor="accent6" w:themeShade="80"/>
          <w:sz w:val="28"/>
          <w:szCs w:val="24"/>
        </w:rPr>
      </w:pPr>
      <w:r w:rsidRPr="00BF36E9">
        <w:rPr>
          <w:color w:val="984806" w:themeColor="accent6" w:themeShade="80"/>
          <w:sz w:val="28"/>
          <w:szCs w:val="24"/>
        </w:rPr>
        <w:t>Option 2:</w:t>
      </w:r>
      <w:r w:rsidR="00841632" w:rsidRPr="00BF36E9">
        <w:rPr>
          <w:color w:val="984806" w:themeColor="accent6" w:themeShade="80"/>
          <w:sz w:val="28"/>
          <w:szCs w:val="24"/>
        </w:rPr>
        <w:t xml:space="preserve"> </w:t>
      </w:r>
      <w:r w:rsidRPr="00BF36E9">
        <w:rPr>
          <w:b/>
          <w:color w:val="984806" w:themeColor="accent6" w:themeShade="80"/>
          <w:sz w:val="28"/>
          <w:szCs w:val="24"/>
        </w:rPr>
        <w:t>Declared Value Increase</w:t>
      </w:r>
    </w:p>
    <w:p w:rsidR="006A73C1" w:rsidRPr="00BF36E9" w:rsidRDefault="006A73C1" w:rsidP="00841632">
      <w:pPr>
        <w:jc w:val="both"/>
        <w:rPr>
          <w:color w:val="984806" w:themeColor="accent6" w:themeShade="80"/>
          <w:sz w:val="24"/>
          <w:szCs w:val="24"/>
        </w:rPr>
      </w:pPr>
      <w:r w:rsidRPr="00BF36E9">
        <w:rPr>
          <w:color w:val="984806" w:themeColor="accent6" w:themeShade="80"/>
          <w:sz w:val="24"/>
          <w:szCs w:val="24"/>
        </w:rPr>
        <w:t xml:space="preserve">You may choose to purchase additional valuation, so the mover assumes a greater liability than in Option 1, but it comes at an additional charge. </w:t>
      </w:r>
    </w:p>
    <w:p w:rsidR="006A73C1" w:rsidRPr="00BF36E9" w:rsidRDefault="006A73C1" w:rsidP="00841632">
      <w:pPr>
        <w:jc w:val="both"/>
        <w:rPr>
          <w:b/>
          <w:color w:val="984806" w:themeColor="accent6" w:themeShade="80"/>
          <w:sz w:val="24"/>
          <w:szCs w:val="24"/>
        </w:rPr>
      </w:pPr>
      <w:r w:rsidRPr="00BF36E9">
        <w:rPr>
          <w:color w:val="984806" w:themeColor="accent6" w:themeShade="80"/>
          <w:sz w:val="24"/>
          <w:szCs w:val="24"/>
        </w:rPr>
        <w:t xml:space="preserve">You must declare a value for your entire shipment (partial </w:t>
      </w:r>
      <w:r w:rsidR="00BF36E9">
        <w:rPr>
          <w:color w:val="984806" w:themeColor="accent6" w:themeShade="80"/>
          <w:sz w:val="24"/>
          <w:szCs w:val="24"/>
        </w:rPr>
        <w:t>valuation is not an option).  If you file a claim for damage</w:t>
      </w:r>
      <w:r w:rsidRPr="00BF36E9">
        <w:rPr>
          <w:color w:val="984806" w:themeColor="accent6" w:themeShade="80"/>
          <w:sz w:val="24"/>
          <w:szCs w:val="24"/>
        </w:rPr>
        <w:t xml:space="preserve">, Happ Movers will make a reasonable attempt to repair or replace any damaged item </w:t>
      </w:r>
      <w:r w:rsidRPr="00BF36E9">
        <w:rPr>
          <w:b/>
          <w:color w:val="984806" w:themeColor="accent6" w:themeShade="80"/>
          <w:sz w:val="24"/>
          <w:szCs w:val="24"/>
        </w:rPr>
        <w:t xml:space="preserve">at a cost up to the item’s current value.  </w:t>
      </w:r>
    </w:p>
    <w:p w:rsidR="00F00D7D" w:rsidRDefault="00F00D7D" w:rsidP="00F00D7D">
      <w:pPr>
        <w:spacing w:line="240" w:lineRule="auto"/>
        <w:jc w:val="both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For example</w:t>
      </w:r>
    </w:p>
    <w:p w:rsidR="00F00D7D" w:rsidRDefault="00F00D7D" w:rsidP="00F00D7D">
      <w:pPr>
        <w:spacing w:line="240" w:lineRule="auto"/>
        <w:jc w:val="both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$20,000 valuation costs $100</w:t>
      </w:r>
    </w:p>
    <w:p w:rsidR="006A73C1" w:rsidRDefault="006A73C1" w:rsidP="00F00D7D">
      <w:pPr>
        <w:spacing w:line="240" w:lineRule="auto"/>
        <w:jc w:val="both"/>
        <w:rPr>
          <w:color w:val="984806" w:themeColor="accent6" w:themeShade="80"/>
          <w:sz w:val="24"/>
          <w:szCs w:val="24"/>
        </w:rPr>
      </w:pPr>
      <w:r w:rsidRPr="00BF36E9">
        <w:rPr>
          <w:color w:val="984806" w:themeColor="accent6" w:themeShade="80"/>
          <w:sz w:val="24"/>
          <w:szCs w:val="24"/>
        </w:rPr>
        <w:t>$50,000 valuation costs $250</w:t>
      </w:r>
    </w:p>
    <w:p w:rsidR="00F00D7D" w:rsidRPr="00BF36E9" w:rsidRDefault="00F00D7D" w:rsidP="00F00D7D">
      <w:pPr>
        <w:spacing w:line="240" w:lineRule="auto"/>
        <w:jc w:val="both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$100,000 valuation costs $500</w:t>
      </w:r>
    </w:p>
    <w:p w:rsidR="006A73C1" w:rsidRPr="00BF36E9" w:rsidRDefault="006A73C1" w:rsidP="00841632">
      <w:pPr>
        <w:jc w:val="both"/>
        <w:rPr>
          <w:color w:val="984806" w:themeColor="accent6" w:themeShade="80"/>
          <w:sz w:val="28"/>
          <w:szCs w:val="28"/>
        </w:rPr>
      </w:pPr>
      <w:r w:rsidRPr="00BF36E9">
        <w:rPr>
          <w:b/>
          <w:color w:val="984806" w:themeColor="accent6" w:themeShade="80"/>
          <w:sz w:val="28"/>
          <w:szCs w:val="28"/>
        </w:rPr>
        <w:t>If you choose this option, write on the bill of lading your declared value and sign it.  You will be charged $5 per $1000 of declared value as the cost for this valuation</w:t>
      </w:r>
      <w:r w:rsidRPr="00BF36E9">
        <w:rPr>
          <w:color w:val="984806" w:themeColor="accent6" w:themeShade="80"/>
          <w:sz w:val="28"/>
          <w:szCs w:val="28"/>
        </w:rPr>
        <w:t>.</w:t>
      </w:r>
    </w:p>
    <w:p w:rsidR="00841632" w:rsidRPr="00BF36E9" w:rsidRDefault="00841632" w:rsidP="00841632">
      <w:pPr>
        <w:jc w:val="both"/>
        <w:rPr>
          <w:i/>
          <w:sz w:val="24"/>
          <w:szCs w:val="24"/>
        </w:rPr>
      </w:pPr>
      <w:r w:rsidRPr="00BF36E9">
        <w:rPr>
          <w:i/>
          <w:sz w:val="24"/>
          <w:szCs w:val="24"/>
        </w:rPr>
        <w:t>A third option is to purchase replacement value insurance from a licensed insurance broker.  Contact your homeowners’ or renters’ insurer for more details or check online for third party policies specifically for residential moving coverage.</w:t>
      </w:r>
    </w:p>
    <w:p w:rsidR="006A73C1" w:rsidRPr="00BF36E9" w:rsidRDefault="006A73C1" w:rsidP="0082086D">
      <w:pPr>
        <w:jc w:val="center"/>
        <w:rPr>
          <w:b/>
          <w:sz w:val="28"/>
          <w:szCs w:val="24"/>
        </w:rPr>
      </w:pPr>
      <w:r w:rsidRPr="00BF36E9">
        <w:rPr>
          <w:b/>
          <w:sz w:val="28"/>
          <w:szCs w:val="24"/>
        </w:rPr>
        <w:t>Exceptions</w:t>
      </w:r>
    </w:p>
    <w:p w:rsidR="006A73C1" w:rsidRPr="00BF36E9" w:rsidRDefault="006A73C1" w:rsidP="00841632">
      <w:pPr>
        <w:jc w:val="both"/>
        <w:rPr>
          <w:sz w:val="24"/>
          <w:szCs w:val="24"/>
        </w:rPr>
      </w:pPr>
      <w:r w:rsidRPr="006A73C1">
        <w:rPr>
          <w:sz w:val="24"/>
          <w:szCs w:val="24"/>
        </w:rPr>
        <w:t xml:space="preserve">In accordance with Illinois Law, there are items for which a mover is never liable, regardless of which liability option you have chosen.  The most common of these items are listed below.  A more complete list can be </w:t>
      </w:r>
      <w:r w:rsidR="00BF36E9">
        <w:rPr>
          <w:sz w:val="24"/>
          <w:szCs w:val="24"/>
        </w:rPr>
        <w:t>found on your bill of lading</w:t>
      </w:r>
      <w:r w:rsidRPr="006A73C1">
        <w:rPr>
          <w:sz w:val="24"/>
          <w:szCs w:val="24"/>
        </w:rPr>
        <w:t xml:space="preserve"> </w:t>
      </w:r>
      <w:r w:rsidR="00F00D7D">
        <w:rPr>
          <w:sz w:val="24"/>
          <w:szCs w:val="24"/>
        </w:rPr>
        <w:t>or through the</w:t>
      </w:r>
      <w:r w:rsidRPr="006A73C1">
        <w:rPr>
          <w:sz w:val="24"/>
          <w:szCs w:val="24"/>
        </w:rPr>
        <w:t xml:space="preserve"> Illinois Movers’ and Warehousemen’s Association website</w:t>
      </w:r>
      <w:r w:rsidR="00BF36E9">
        <w:rPr>
          <w:sz w:val="24"/>
          <w:szCs w:val="24"/>
        </w:rPr>
        <w:t xml:space="preserve">.  A link to each of these can be found </w:t>
      </w:r>
      <w:r w:rsidR="00F00D7D">
        <w:rPr>
          <w:sz w:val="24"/>
          <w:szCs w:val="24"/>
        </w:rPr>
        <w:t>at</w:t>
      </w:r>
      <w:r w:rsidR="00BF36E9">
        <w:rPr>
          <w:sz w:val="24"/>
          <w:szCs w:val="24"/>
        </w:rPr>
        <w:t xml:space="preserve"> www.happmovers.com</w:t>
      </w:r>
      <w:r w:rsidRPr="006A73C1">
        <w:rPr>
          <w:sz w:val="24"/>
          <w:szCs w:val="24"/>
        </w:rPr>
        <w:t xml:space="preserve"> </w:t>
      </w:r>
    </w:p>
    <w:p w:rsidR="006A73C1" w:rsidRPr="00884FEB" w:rsidRDefault="006A73C1" w:rsidP="00841632">
      <w:pPr>
        <w:jc w:val="both"/>
        <w:rPr>
          <w:b/>
          <w:color w:val="FF0000"/>
          <w:sz w:val="24"/>
          <w:szCs w:val="24"/>
        </w:rPr>
      </w:pPr>
      <w:r w:rsidRPr="00884FEB">
        <w:rPr>
          <w:b/>
          <w:color w:val="FF0000"/>
          <w:sz w:val="24"/>
          <w:szCs w:val="24"/>
        </w:rPr>
        <w:t>Movers are not responsible for:</w:t>
      </w:r>
    </w:p>
    <w:p w:rsidR="006A73C1" w:rsidRPr="006A73C1" w:rsidRDefault="006A73C1" w:rsidP="00841632">
      <w:pPr>
        <w:jc w:val="both"/>
        <w:rPr>
          <w:color w:val="FF0000"/>
          <w:sz w:val="24"/>
          <w:szCs w:val="24"/>
        </w:rPr>
      </w:pPr>
      <w:r w:rsidRPr="006A73C1">
        <w:rPr>
          <w:color w:val="FF0000"/>
          <w:sz w:val="24"/>
          <w:szCs w:val="24"/>
        </w:rPr>
        <w:t>-engineered wood furniture (furniture you assemble yourself)</w:t>
      </w:r>
    </w:p>
    <w:p w:rsidR="006A73C1" w:rsidRPr="006A73C1" w:rsidRDefault="006A73C1" w:rsidP="00841632">
      <w:pPr>
        <w:jc w:val="both"/>
        <w:rPr>
          <w:color w:val="FF0000"/>
          <w:sz w:val="24"/>
          <w:szCs w:val="24"/>
        </w:rPr>
      </w:pPr>
      <w:r w:rsidRPr="006A73C1">
        <w:rPr>
          <w:color w:val="FF0000"/>
          <w:sz w:val="24"/>
          <w:szCs w:val="24"/>
        </w:rPr>
        <w:t>-electronic functioning of any item.  This includes TVs, computers, clocks, stereos, air conditioners, appliances, etc.</w:t>
      </w:r>
    </w:p>
    <w:p w:rsidR="009E4B4E" w:rsidRDefault="009E4B4E" w:rsidP="0084163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-jewelry, money, documents or items of higher</w:t>
      </w:r>
      <w:bookmarkStart w:id="0" w:name="_GoBack"/>
      <w:bookmarkEnd w:id="0"/>
      <w:r>
        <w:rPr>
          <w:color w:val="FF0000"/>
          <w:sz w:val="24"/>
          <w:szCs w:val="24"/>
        </w:rPr>
        <w:t xml:space="preserve"> value unless separately declared</w:t>
      </w:r>
    </w:p>
    <w:p w:rsidR="006A73C1" w:rsidRPr="006A73C1" w:rsidRDefault="006A73C1" w:rsidP="00841632">
      <w:pPr>
        <w:jc w:val="both"/>
        <w:rPr>
          <w:color w:val="FF0000"/>
          <w:sz w:val="24"/>
          <w:szCs w:val="24"/>
        </w:rPr>
      </w:pPr>
      <w:r w:rsidRPr="006A73C1">
        <w:rPr>
          <w:color w:val="FF0000"/>
          <w:sz w:val="24"/>
          <w:szCs w:val="24"/>
        </w:rPr>
        <w:t>-items that have been previously repaired</w:t>
      </w:r>
    </w:p>
    <w:p w:rsidR="006A73C1" w:rsidRPr="006A73C1" w:rsidRDefault="006A73C1" w:rsidP="00841632">
      <w:pPr>
        <w:jc w:val="both"/>
        <w:rPr>
          <w:color w:val="FF0000"/>
          <w:sz w:val="24"/>
          <w:szCs w:val="24"/>
        </w:rPr>
      </w:pPr>
      <w:r w:rsidRPr="006A73C1">
        <w:rPr>
          <w:color w:val="FF0000"/>
          <w:sz w:val="24"/>
          <w:szCs w:val="24"/>
        </w:rPr>
        <w:t>-any boxed item that was packed by the owner</w:t>
      </w:r>
    </w:p>
    <w:p w:rsidR="00F00D7D" w:rsidRDefault="00F00D7D" w:rsidP="00F00D7D">
      <w:pPr>
        <w:jc w:val="both"/>
      </w:pPr>
    </w:p>
    <w:p w:rsidR="00CB54DF" w:rsidRDefault="006A73C1" w:rsidP="00F00D7D">
      <w:pPr>
        <w:jc w:val="both"/>
      </w:pPr>
      <w:r w:rsidRPr="00841632">
        <w:t xml:space="preserve">As always, we will make our best effort to transport all your items safely and any damage is rare. </w:t>
      </w:r>
      <w:r w:rsidR="00884FEB">
        <w:t xml:space="preserve"> These options are to help you take control of the cost of your move versus the liability you wish to share. </w:t>
      </w: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1"/>
    <w:rsid w:val="00170F24"/>
    <w:rsid w:val="005A6981"/>
    <w:rsid w:val="006A73C1"/>
    <w:rsid w:val="0082086D"/>
    <w:rsid w:val="00841632"/>
    <w:rsid w:val="00884FEB"/>
    <w:rsid w:val="008972DF"/>
    <w:rsid w:val="009E4B4E"/>
    <w:rsid w:val="00AB22F0"/>
    <w:rsid w:val="00B518A9"/>
    <w:rsid w:val="00B84EBF"/>
    <w:rsid w:val="00BF36E9"/>
    <w:rsid w:val="00CB54DF"/>
    <w:rsid w:val="00DC66B0"/>
    <w:rsid w:val="00F0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4D7199"/>
  <w15:docId w15:val="{73BCA463-33F3-4BDD-97F4-9C728132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customStyle="1" w:styleId="Website">
    <w:name w:val="Website"/>
    <w:basedOn w:val="Normal"/>
    <w:next w:val="Normal"/>
    <w:uiPriority w:val="4"/>
    <w:qFormat/>
    <w:rsid w:val="006A73C1"/>
    <w:pPr>
      <w:spacing w:before="120" w:after="160"/>
    </w:pPr>
    <w:rPr>
      <w:color w:val="244061" w:themeColor="accent1" w:themeShade="80"/>
      <w:kern w:val="2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6A7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maw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appmov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maw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appmover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appmovers.com" TargetMode="External"/><Relationship Id="rId14" Type="http://schemas.openxmlformats.org/officeDocument/2006/relationships/hyperlink" Target="http://www.happmover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ppm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4D355882DB497E92E76D8DE885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B152-A7D1-4ADC-8E63-2A6D0A54996B}"/>
      </w:docPartPr>
      <w:docPartBody>
        <w:p w:rsidR="00612242" w:rsidRDefault="00785E55">
          <w:pPr>
            <w:pStyle w:val="904D355882DB497E92E76D8DE8855E41"/>
          </w:pPr>
          <w:r>
            <w:t>[Adventure Works]</w:t>
          </w:r>
        </w:p>
      </w:docPartBody>
    </w:docPart>
    <w:docPart>
      <w:docPartPr>
        <w:name w:val="3C9673CB0C544D049806AED64F0D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E4FC2-06F7-4BA1-ACBA-036A96078878}"/>
      </w:docPartPr>
      <w:docPartBody>
        <w:p w:rsidR="00612242" w:rsidRDefault="00785E55">
          <w:pPr>
            <w:pStyle w:val="3C9673CB0C544D049806AED64F0D89D1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55"/>
    <w:rsid w:val="00612242"/>
    <w:rsid w:val="007014EE"/>
    <w:rsid w:val="007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6DCA744034C3A8E72BA1B6238DC42">
    <w:name w:val="77C6DCA744034C3A8E72BA1B6238DC42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</w:rPr>
  </w:style>
  <w:style w:type="paragraph" w:customStyle="1" w:styleId="BF2AC7B4789A486A9B39EE74EB9D76BD">
    <w:name w:val="BF2AC7B4789A486A9B39EE74EB9D76BD"/>
  </w:style>
  <w:style w:type="paragraph" w:customStyle="1" w:styleId="1DC9B16F7CAA4C8FA693D4A20A332D72">
    <w:name w:val="1DC9B16F7CAA4C8FA693D4A20A332D72"/>
  </w:style>
  <w:style w:type="paragraph" w:customStyle="1" w:styleId="2B4DFF9612C740BCB8EAEC0B26F5AD45">
    <w:name w:val="2B4DFF9612C740BCB8EAEC0B26F5AD45"/>
  </w:style>
  <w:style w:type="paragraph" w:customStyle="1" w:styleId="621ECFA8168B454DA71CB8DE1318C5DD">
    <w:name w:val="621ECFA8168B454DA71CB8DE1318C5DD"/>
  </w:style>
  <w:style w:type="paragraph" w:customStyle="1" w:styleId="D2828CEC0DB547A187FE08E7CDDD2EEA">
    <w:name w:val="D2828CEC0DB547A187FE08E7CDDD2EEA"/>
  </w:style>
  <w:style w:type="paragraph" w:customStyle="1" w:styleId="771CE085E4274888832ED24FB6D952C3">
    <w:name w:val="771CE085E4274888832ED24FB6D952C3"/>
  </w:style>
  <w:style w:type="paragraph" w:customStyle="1" w:styleId="5152867C9893490C9170A655A543A257">
    <w:name w:val="5152867C9893490C9170A655A543A257"/>
  </w:style>
  <w:style w:type="paragraph" w:customStyle="1" w:styleId="98DAFDF863A545C3ABDD619FF2EE6434">
    <w:name w:val="98DAFDF863A545C3ABDD619FF2EE6434"/>
  </w:style>
  <w:style w:type="paragraph" w:customStyle="1" w:styleId="86A823CA895E469D8607140A3DC186D4">
    <w:name w:val="86A823CA895E469D8607140A3DC186D4"/>
  </w:style>
  <w:style w:type="paragraph" w:customStyle="1" w:styleId="0266B660C0724E49B9C32EACC8889AB9">
    <w:name w:val="0266B660C0724E49B9C32EACC8889AB9"/>
  </w:style>
  <w:style w:type="paragraph" w:customStyle="1" w:styleId="52FF307FC1834A46A20FBDF5C777D440">
    <w:name w:val="52FF307FC1834A46A20FBDF5C777D440"/>
  </w:style>
  <w:style w:type="paragraph" w:customStyle="1" w:styleId="1636F7E4D1724476B5C29A9AA3FCBABF">
    <w:name w:val="1636F7E4D1724476B5C29A9AA3FCBABF"/>
  </w:style>
  <w:style w:type="paragraph" w:customStyle="1" w:styleId="343D35619C3F4F99BE6D742B1FBA7079">
    <w:name w:val="343D35619C3F4F99BE6D742B1FBA7079"/>
  </w:style>
  <w:style w:type="paragraph" w:customStyle="1" w:styleId="D2BA13AF6DFB47E391CB1A852D0A9C30">
    <w:name w:val="D2BA13AF6DFB47E391CB1A852D0A9C30"/>
  </w:style>
  <w:style w:type="paragraph" w:customStyle="1" w:styleId="6EEEEC02FA154CEAA33279CAA1E501CD">
    <w:name w:val="6EEEEC02FA154CEAA33279CAA1E501CD"/>
  </w:style>
  <w:style w:type="paragraph" w:customStyle="1" w:styleId="4B2C02EF9AED4CF5BEF0D008C592C357">
    <w:name w:val="4B2C02EF9AED4CF5BEF0D008C592C357"/>
  </w:style>
  <w:style w:type="paragraph" w:customStyle="1" w:styleId="904D355882DB497E92E76D8DE8855E41">
    <w:name w:val="904D355882DB497E92E76D8DE8855E41"/>
  </w:style>
  <w:style w:type="paragraph" w:customStyle="1" w:styleId="3C9673CB0C544D049806AED64F0D89D1">
    <w:name w:val="3C9673CB0C544D049806AED64F0D89D1"/>
  </w:style>
  <w:style w:type="paragraph" w:customStyle="1" w:styleId="0D137FED81504AD4BB390BEBB687031C">
    <w:name w:val="0D137FED81504AD4BB390BEBB687031C"/>
  </w:style>
  <w:style w:type="paragraph" w:customStyle="1" w:styleId="1636A9871BA24ABE8009D1C51BCCFDD5">
    <w:name w:val="1636A9871BA24ABE8009D1C51BCCFDD5"/>
  </w:style>
  <w:style w:type="paragraph" w:customStyle="1" w:styleId="943BA284FB474005AF967061B6A45FFE">
    <w:name w:val="943BA284FB474005AF967061B6A45FFE"/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</w:rPr>
  </w:style>
  <w:style w:type="paragraph" w:customStyle="1" w:styleId="983D2F50DB104612AA995826758BAA20">
    <w:name w:val="983D2F50DB104612AA995826758BAA20"/>
  </w:style>
  <w:style w:type="paragraph" w:customStyle="1" w:styleId="CB172CAA22A44A34BE246FFB4804558A">
    <w:name w:val="CB172CAA22A44A34BE246FFB4804558A"/>
  </w:style>
  <w:style w:type="paragraph" w:customStyle="1" w:styleId="E6CDA7384CFC4D5BA9D3E7E9C3EEE625">
    <w:name w:val="E6CDA7384CFC4D5BA9D3E7E9C3EEE625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DABB4D1087DA45649C27A56AEC063FC0">
    <w:name w:val="DABB4D1087DA45649C27A56AEC063FC0"/>
  </w:style>
  <w:style w:type="paragraph" w:customStyle="1" w:styleId="C1F61A850EBF47C88B5B7E10D71CD114">
    <w:name w:val="C1F61A850EBF47C88B5B7E10D71CD114"/>
  </w:style>
  <w:style w:type="paragraph" w:customStyle="1" w:styleId="677AB08E210A40C29AD72C9446665AE7">
    <w:name w:val="677AB08E210A40C29AD72C9446665AE7"/>
  </w:style>
  <w:style w:type="paragraph" w:customStyle="1" w:styleId="43CDD0AD071B42E9A79305236FB1E2E7">
    <w:name w:val="43CDD0AD071B42E9A79305236FB1E2E7"/>
  </w:style>
  <w:style w:type="paragraph" w:customStyle="1" w:styleId="43F490B7CF3049809514D7E844D06298">
    <w:name w:val="43F490B7CF3049809514D7E844D06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2942 Glenview Road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94EB0-0AD6-48B1-BE2B-0DE5DCE9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brochure.dotx</Template>
  <TotalTime>117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Happ Movers, Inc.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Happ Movers</dc:creator>
  <cp:keywords/>
  <cp:lastModifiedBy>Happ Movers</cp:lastModifiedBy>
  <cp:revision>3</cp:revision>
  <cp:lastPrinted>2016-09-13T12:51:00Z</cp:lastPrinted>
  <dcterms:created xsi:type="dcterms:W3CDTF">2016-09-12T20:39:00Z</dcterms:created>
  <dcterms:modified xsi:type="dcterms:W3CDTF">2016-09-13T13:25:00Z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